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98" w:rsidRDefault="00630398">
      <w:pPr>
        <w:spacing w:after="120"/>
        <w:ind w:left="6521"/>
      </w:pPr>
      <w:bookmarkStart w:id="0" w:name="_GoBack"/>
      <w:bookmarkEnd w:id="0"/>
      <w:r>
        <w:t>Приложение № 6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630398" w:rsidRDefault="00630398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630398" w:rsidRDefault="0063039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tabs>
          <w:tab w:val="right" w:pos="9923"/>
        </w:tabs>
        <w:ind w:left="868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630398" w:rsidRDefault="00630398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:rsidR="00630398" w:rsidRDefault="0063039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:rsidR="00630398" w:rsidRDefault="00630398">
      <w:pPr>
        <w:pBdr>
          <w:top w:val="single" w:sz="4" w:space="1" w:color="auto"/>
        </w:pBdr>
        <w:ind w:left="426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630398" w:rsidRDefault="00630398">
      <w:pPr>
        <w:rPr>
          <w:sz w:val="24"/>
          <w:szCs w:val="24"/>
        </w:rPr>
      </w:pPr>
    </w:p>
    <w:p w:rsidR="00630398" w:rsidRDefault="00630398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630398" w:rsidRDefault="00630398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left="1786" w:right="113"/>
        <w:jc w:val="center"/>
      </w:pPr>
      <w:r>
        <w:t>(место нахождения энергопринимающих устройств)</w:t>
      </w:r>
    </w:p>
    <w:p w:rsidR="00630398" w:rsidRPr="00630398" w:rsidRDefault="00630398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16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630398" w:rsidRPr="00630398" w:rsidRDefault="00630398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630398" w:rsidRPr="00630398" w:rsidRDefault="00630398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>
        <w:rPr>
          <w:sz w:val="24"/>
          <w:szCs w:val="24"/>
          <w:lang w:val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630398" w:rsidRDefault="006303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Заявляемая  категория  энергопринимающего  устройства по надежности электроснабжения – III (по одному источнику электроснабжения).</w:t>
      </w:r>
    </w:p>
    <w:p w:rsidR="00630398" w:rsidRDefault="00630398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630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мающего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>Планируемый срок введения энергопринимающего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щего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</w:tbl>
    <w:p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30398" w:rsidRDefault="00630398">
      <w:pPr>
        <w:ind w:firstLine="567"/>
      </w:pPr>
      <w:r>
        <w:t>(указать перечень прилагаемых документов)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630398" w:rsidRDefault="00630398">
      <w:pPr>
        <w:pBdr>
          <w:top w:val="single" w:sz="4" w:space="1" w:color="auto"/>
        </w:pBdr>
        <w:spacing w:after="240"/>
        <w:ind w:left="879"/>
        <w:rPr>
          <w:sz w:val="2"/>
          <w:szCs w:val="2"/>
        </w:rPr>
      </w:pPr>
    </w:p>
    <w:p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(фамилия, имя, отчество)</w:t>
            </w: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(контактный телефон)</w:t>
            </w: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(подпись)</w:t>
            </w:r>
          </w:p>
        </w:tc>
      </w:tr>
    </w:tbl>
    <w:p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30398" w:rsidRDefault="00630398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</w:p>
    <w:sectPr w:rsidR="00630398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99" w:rsidRDefault="009E1599">
      <w:r>
        <w:separator/>
      </w:r>
    </w:p>
  </w:endnote>
  <w:endnote w:type="continuationSeparator" w:id="0">
    <w:p w:rsidR="009E1599" w:rsidRDefault="009E1599">
      <w:r>
        <w:continuationSeparator/>
      </w:r>
    </w:p>
  </w:endnote>
  <w:endnote w:id="1">
    <w:p w:rsidR="00000000" w:rsidRDefault="00630398">
      <w:pPr>
        <w:pStyle w:val="a7"/>
        <w:ind w:firstLine="567"/>
        <w:jc w:val="both"/>
      </w:pPr>
      <w:r>
        <w:rPr>
          <w:rStyle w:val="a9"/>
        </w:rPr>
        <w:t>1</w:t>
      </w:r>
      <w:r>
        <w:t>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endnote>
  <w:endnote w:id="2">
    <w:p w:rsidR="00000000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3">
    <w:p w:rsidR="00000000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99" w:rsidRDefault="009E1599">
      <w:r>
        <w:separator/>
      </w:r>
    </w:p>
  </w:footnote>
  <w:footnote w:type="continuationSeparator" w:id="0">
    <w:p w:rsidR="009E1599" w:rsidRDefault="009E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98" w:rsidRDefault="00630398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98"/>
    <w:rsid w:val="000F2A31"/>
    <w:rsid w:val="00630398"/>
    <w:rsid w:val="009E1599"/>
    <w:rsid w:val="009E59A2"/>
    <w:rsid w:val="00F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Орлова Елена Викторовна</cp:lastModifiedBy>
  <cp:revision>2</cp:revision>
  <cp:lastPrinted>2015-06-23T11:20:00Z</cp:lastPrinted>
  <dcterms:created xsi:type="dcterms:W3CDTF">2019-03-28T04:09:00Z</dcterms:created>
  <dcterms:modified xsi:type="dcterms:W3CDTF">2019-03-28T04:09:00Z</dcterms:modified>
</cp:coreProperties>
</file>